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5" w:rsidRDefault="002A19E5" w:rsidP="002A19E5">
      <w:pPr>
        <w:pStyle w:val="a3"/>
        <w:shd w:val="clear" w:color="auto" w:fill="FFFFFF"/>
        <w:spacing w:before="0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Обращаем ваше внимание! Наравне с оригиналами документов на бумажном носителе </w:t>
      </w:r>
      <w:proofErr w:type="gramStart"/>
      <w:r>
        <w:rPr>
          <w:rFonts w:ascii="Montserrat" w:hAnsi="Montserrat"/>
          <w:color w:val="333333"/>
          <w:sz w:val="23"/>
          <w:szCs w:val="23"/>
        </w:rPr>
        <w:t>скан-копии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всех документов необходимо предоставить в электронном виде. 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должны быть пронумерованы в соответствии с перечнем документов, размещенном на сайте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Микрофинансовой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компании Пермского края </w:t>
      </w:r>
      <w:hyperlink r:id="rId6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www.mfk59.ru</w:t>
        </w:r>
      </w:hyperlink>
      <w:r>
        <w:rPr>
          <w:rFonts w:ascii="Montserrat" w:hAnsi="Montserrat"/>
          <w:color w:val="333333"/>
          <w:sz w:val="23"/>
          <w:szCs w:val="23"/>
        </w:rPr>
        <w:t> согласно выбранному финансовому продукту и условиям предоставления займа. 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необходимо сохранить в формате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pdf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jpg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zip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 отправить на электронную почту </w:t>
      </w:r>
      <w:hyperlink r:id="rId7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Mikrozaim@pcrp.ru</w:t>
        </w:r>
      </w:hyperlink>
      <w:r>
        <w:rPr>
          <w:rFonts w:ascii="Montserrat" w:hAnsi="Montserrat"/>
          <w:color w:val="333333"/>
          <w:sz w:val="23"/>
          <w:szCs w:val="23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Для того</w:t>
      </w:r>
      <w:proofErr w:type="gramStart"/>
      <w:r>
        <w:rPr>
          <w:rFonts w:ascii="Montserrat" w:hAnsi="Montserrat"/>
          <w:color w:val="333333"/>
          <w:sz w:val="23"/>
          <w:szCs w:val="23"/>
        </w:rPr>
        <w:t>,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>
        <w:rPr>
          <w:rFonts w:ascii="Montserrat" w:hAnsi="Montserrat"/>
          <w:color w:val="333333"/>
          <w:sz w:val="23"/>
          <w:szCs w:val="23"/>
        </w:rPr>
        <w:t>Clear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</w:t>
      </w:r>
      <w:proofErr w:type="spellStart"/>
      <w:r>
        <w:rPr>
          <w:rFonts w:ascii="Montserrat" w:hAnsi="Montserrat"/>
          <w:color w:val="333333"/>
          <w:sz w:val="23"/>
          <w:szCs w:val="23"/>
        </w:rPr>
        <w:t>Scanner</w:t>
      </w:r>
      <w:proofErr w:type="spellEnd"/>
      <w:r>
        <w:rPr>
          <w:rFonts w:ascii="Montserrat" w:hAnsi="Montserrat"/>
          <w:color w:val="333333"/>
          <w:sz w:val="23"/>
          <w:szCs w:val="23"/>
        </w:rPr>
        <w:t>. Скачайте его по </w:t>
      </w:r>
      <w:hyperlink r:id="rId8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ССЫЛКЕ</w:t>
        </w:r>
      </w:hyperlink>
      <w:r>
        <w:rPr>
          <w:rFonts w:ascii="Montserrat" w:hAnsi="Montserrat"/>
          <w:color w:val="333333"/>
          <w:sz w:val="23"/>
          <w:szCs w:val="23"/>
        </w:rPr>
        <w:t> или через свой магазин приложений на телефоне.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663300"/>
          <w:sz w:val="23"/>
          <w:szCs w:val="23"/>
        </w:rPr>
      </w:pP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333333"/>
          <w:sz w:val="27"/>
          <w:szCs w:val="27"/>
        </w:rPr>
      </w:pPr>
      <w:r>
        <w:rPr>
          <w:rStyle w:val="a4"/>
          <w:rFonts w:ascii="Montserrat" w:hAnsi="Montserrat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4"/>
          <w:rFonts w:ascii="Montserrat" w:hAnsi="Montserrat"/>
          <w:color w:val="333333"/>
          <w:sz w:val="27"/>
          <w:szCs w:val="27"/>
        </w:rPr>
        <w:t>микрозайма</w:t>
      </w:r>
      <w:proofErr w:type="spellEnd"/>
      <w:r>
        <w:rPr>
          <w:rStyle w:val="a4"/>
          <w:rFonts w:ascii="Montserrat" w:hAnsi="Montserrat"/>
          <w:color w:val="333333"/>
          <w:sz w:val="27"/>
          <w:szCs w:val="27"/>
        </w:rPr>
        <w:t xml:space="preserve"> организацией инфраструктуры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646"/>
        <w:gridCol w:w="2027"/>
      </w:tblGrid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9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Заявление-анкета ЮЛ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ind w:left="28" w:right="142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6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из ИФНС по форме КНД 1120101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 и/или по форме КНД 1160082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 (срок действия не более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30 дней до даты регистрации заявки)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)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Montserrat" w:hAnsi="Montserrat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Выписка о движении денежных средств по счету с указанием назначения платежа и наименованием контрагентов за последние </w:t>
            </w:r>
            <w:r>
              <w:rPr>
                <w:rFonts w:ascii="Montserrat" w:hAnsi="Montserrat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 Бухгалтерские и финансовые документы: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- 0420911 "Отчет о целевом использовании сре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дств кр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Приложения к бухгалтерскому балансу и отчету о целевом использовании средств: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 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- 0420913 "Отчет об изменениях собственных сре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дств кр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организации.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 приложением следующей информации (расшифровок):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Действующий портфель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(на отчетную дату);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Действующий портфель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(займов) с просрочкой &gt; 30 дней (на отчетную дату) (без наименования заемщика);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Сумма списанных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(займов) за 3 года, предшествующих отчетному периоду (на отчетную дату).</w:t>
            </w:r>
          </w:p>
          <w:p w:rsidR="002A19E5" w:rsidRDefault="002A19E5">
            <w:pPr>
              <w:pStyle w:val="a3"/>
              <w:spacing w:before="375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Сумма привлеченных средств (кредиты, займы,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микрозаймы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погашению на период действия запрашиваемого займа, к погашению за пределами периода действия займа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Trebuchet MS" w:hAnsi="Trebuchet MS"/>
                <w:color w:val="333333"/>
                <w:sz w:val="23"/>
                <w:szCs w:val="23"/>
              </w:rPr>
              <w:t> 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2A19E5" w:rsidTr="002A19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6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8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9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2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2A19E5" w:rsidRDefault="002A19E5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/контрагентов):</w:t>
            </w:r>
          </w:p>
          <w:p w:rsidR="002A19E5" w:rsidRDefault="002A19E5" w:rsidP="002A19E5">
            <w:pPr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2A19E5" w:rsidRDefault="002A19E5" w:rsidP="002A19E5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2A19E5" w:rsidRDefault="002A19E5" w:rsidP="002A19E5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2A19E5" w:rsidRDefault="002A19E5" w:rsidP="002A19E5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6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8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 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при оформлении в залог имущества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     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     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2A19E5" w:rsidRDefault="002A19E5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8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5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2A19E5" w:rsidTr="002A1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9E5" w:rsidRDefault="002A19E5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</w:tbl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</w:p>
    <w:p w:rsidR="002A19E5" w:rsidRDefault="002A19E5" w:rsidP="002A19E5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2A19E5" w:rsidRDefault="002A19E5" w:rsidP="002A19E5">
      <w:pPr>
        <w:numPr>
          <w:ilvl w:val="0"/>
          <w:numId w:val="20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почте - копии почтовых квитанций об отправке;</w:t>
      </w:r>
    </w:p>
    <w:p w:rsidR="002A19E5" w:rsidRDefault="002A19E5" w:rsidP="002A19E5">
      <w:pPr>
        <w:numPr>
          <w:ilvl w:val="0"/>
          <w:numId w:val="20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333333"/>
          <w:sz w:val="23"/>
          <w:szCs w:val="23"/>
        </w:rPr>
      </w:pP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bookmarkStart w:id="0" w:name="_GoBack"/>
      <w:bookmarkEnd w:id="0"/>
      <w:r>
        <w:rPr>
          <w:rFonts w:ascii="Montserrat" w:hAnsi="Montserrat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2A19E5" w:rsidRDefault="002A19E5" w:rsidP="002A19E5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 должны быть надлежащим образом оформлены и читаемы.</w:t>
      </w:r>
    </w:p>
    <w:p w:rsidR="002A19E5" w:rsidRDefault="002A19E5" w:rsidP="002A19E5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Montserrat" w:hAnsi="Montserrat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2A19E5" w:rsidRDefault="002A19E5" w:rsidP="002A19E5">
      <w:pPr>
        <w:numPr>
          <w:ilvl w:val="0"/>
          <w:numId w:val="21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2A19E5" w:rsidRDefault="002A19E5" w:rsidP="002A19E5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Montserrat" w:hAnsi="Montserrat"/>
          <w:color w:val="333333"/>
          <w:sz w:val="23"/>
          <w:szCs w:val="23"/>
        </w:rPr>
        <w:t>заверение копий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документов);</w:t>
      </w:r>
    </w:p>
    <w:p w:rsidR="002A19E5" w:rsidRDefault="002A19E5" w:rsidP="002A19E5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2A19E5" w:rsidRDefault="002A19E5" w:rsidP="002A19E5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proofErr w:type="spellStart"/>
      <w:r>
        <w:rPr>
          <w:rFonts w:ascii="Montserrat" w:hAnsi="Montserrat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2A19E5" w:rsidRDefault="002A19E5" w:rsidP="002A19E5">
      <w:pPr>
        <w:numPr>
          <w:ilvl w:val="0"/>
          <w:numId w:val="22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надписи «Верно» или «Копия верна»;</w:t>
      </w:r>
    </w:p>
    <w:p w:rsidR="002A19E5" w:rsidRDefault="002A19E5" w:rsidP="002A19E5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подпись;</w:t>
      </w:r>
    </w:p>
    <w:p w:rsidR="002A19E5" w:rsidRDefault="002A19E5" w:rsidP="002A19E5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расшифровка подписи;</w:t>
      </w:r>
    </w:p>
    <w:p w:rsidR="002A19E5" w:rsidRDefault="002A19E5" w:rsidP="002A19E5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дата заверения;</w:t>
      </w:r>
    </w:p>
    <w:p w:rsidR="002A19E5" w:rsidRDefault="002A19E5" w:rsidP="002A19E5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печать (при наличии).</w:t>
      </w:r>
    </w:p>
    <w:p w:rsidR="00C45AC8" w:rsidRPr="00370C88" w:rsidRDefault="002A19E5" w:rsidP="00370C88"/>
    <w:sectPr w:rsidR="00C45AC8" w:rsidRPr="0037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80D"/>
    <w:multiLevelType w:val="multilevel"/>
    <w:tmpl w:val="392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3157"/>
    <w:multiLevelType w:val="multilevel"/>
    <w:tmpl w:val="1CE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1769"/>
    <w:multiLevelType w:val="multilevel"/>
    <w:tmpl w:val="BD1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11FDC"/>
    <w:multiLevelType w:val="multilevel"/>
    <w:tmpl w:val="E27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E082C"/>
    <w:multiLevelType w:val="multilevel"/>
    <w:tmpl w:val="4B7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1077"/>
    <w:multiLevelType w:val="multilevel"/>
    <w:tmpl w:val="B69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73893"/>
    <w:multiLevelType w:val="multilevel"/>
    <w:tmpl w:val="48A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2A7C"/>
    <w:multiLevelType w:val="multilevel"/>
    <w:tmpl w:val="02A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7170D"/>
    <w:multiLevelType w:val="multilevel"/>
    <w:tmpl w:val="0A7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43C38"/>
    <w:multiLevelType w:val="multilevel"/>
    <w:tmpl w:val="F1F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F6396"/>
    <w:multiLevelType w:val="multilevel"/>
    <w:tmpl w:val="75D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B581C"/>
    <w:multiLevelType w:val="multilevel"/>
    <w:tmpl w:val="D4E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23448"/>
    <w:multiLevelType w:val="multilevel"/>
    <w:tmpl w:val="EF1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D4D52"/>
    <w:multiLevelType w:val="multilevel"/>
    <w:tmpl w:val="143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0131B"/>
    <w:multiLevelType w:val="multilevel"/>
    <w:tmpl w:val="513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5469E"/>
    <w:multiLevelType w:val="multilevel"/>
    <w:tmpl w:val="9E2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21680"/>
    <w:multiLevelType w:val="multilevel"/>
    <w:tmpl w:val="B54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43C5D"/>
    <w:multiLevelType w:val="multilevel"/>
    <w:tmpl w:val="11E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36C1C"/>
    <w:multiLevelType w:val="multilevel"/>
    <w:tmpl w:val="958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F7EDD"/>
    <w:multiLevelType w:val="multilevel"/>
    <w:tmpl w:val="67DC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A351E"/>
    <w:multiLevelType w:val="multilevel"/>
    <w:tmpl w:val="05F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D652E"/>
    <w:multiLevelType w:val="multilevel"/>
    <w:tmpl w:val="A094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2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  <w:num w:numId="16">
    <w:abstractNumId w:val="18"/>
  </w:num>
  <w:num w:numId="17">
    <w:abstractNumId w:val="13"/>
  </w:num>
  <w:num w:numId="18">
    <w:abstractNumId w:val="5"/>
  </w:num>
  <w:num w:numId="19">
    <w:abstractNumId w:val="10"/>
  </w:num>
  <w:num w:numId="20">
    <w:abstractNumId w:val="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AF"/>
    <w:rsid w:val="002A19E5"/>
    <w:rsid w:val="00370C88"/>
    <w:rsid w:val="003F1BF7"/>
    <w:rsid w:val="008143AF"/>
    <w:rsid w:val="008A1626"/>
    <w:rsid w:val="00B74E6A"/>
    <w:rsid w:val="00C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AF"/>
    <w:rPr>
      <w:b/>
      <w:bCs/>
    </w:rPr>
  </w:style>
  <w:style w:type="character" w:styleId="a5">
    <w:name w:val="Hyperlink"/>
    <w:basedOn w:val="a0"/>
    <w:uiPriority w:val="99"/>
    <w:semiHidden/>
    <w:unhideWhenUsed/>
    <w:rsid w:val="00814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AF"/>
    <w:rPr>
      <w:b/>
      <w:bCs/>
    </w:rPr>
  </w:style>
  <w:style w:type="character" w:styleId="a5">
    <w:name w:val="Hyperlink"/>
    <w:basedOn w:val="a0"/>
    <w:uiPriority w:val="99"/>
    <w:semiHidden/>
    <w:unhideWhenUsed/>
    <w:rsid w:val="00814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7" Type="http://schemas.openxmlformats.org/officeDocument/2006/relationships/hyperlink" Target="mailto:foto@pcrp.ru" TargetMode="External"/><Relationship Id="rId5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mailto:Mikrozaim@pcrp.ru" TargetMode="External"/><Relationship Id="rId12" Type="http://schemas.openxmlformats.org/officeDocument/2006/relationships/hyperlink" Target="https://mfk59.ru/bitrix/templates/aspro-priority/docs/Trebovania-k-foto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5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mailto:foto@pcrp.ru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9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6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49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19" Type="http://schemas.openxmlformats.org/officeDocument/2006/relationships/hyperlink" Target="https://mfk59.ru/upload/medialibrary/%D0%90%D0%BD%D0%BA%D0%B5%D1%82%D0%B0%20%D0%A4%D0%9B.doc" TargetMode="External"/><Relationship Id="rId31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44" Type="http://schemas.openxmlformats.org/officeDocument/2006/relationships/hyperlink" Target="mailto:foto@pcrp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fk59.ru/upload/medialibrary/%D0%97%D0%B0%D1%8F%D0%B2%D0%BB%D0%B5%D0%BD%D0%B8%D0%B5-%D0%90%D0%BD%D0%BA%D0%B5%D1%82%D0%B0_%D0%AE%D0%9B.doc" TargetMode="External"/><Relationship Id="rId14" Type="http://schemas.openxmlformats.org/officeDocument/2006/relationships/hyperlink" Target="https://mfk59.ru/upload/medialibrary/%D0%90%D0%BD%D0%BA%D0%B5%D1%82%D0%B0%20%D0%A4%D0%9B.doc" TargetMode="External"/><Relationship Id="rId2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5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8" Type="http://schemas.openxmlformats.org/officeDocument/2006/relationships/hyperlink" Target="https://softbesplatno.net/1446-clear-scanner-free-pdf-scans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Лариса Петровна Рукавицина</cp:lastModifiedBy>
  <cp:revision>5</cp:revision>
  <dcterms:created xsi:type="dcterms:W3CDTF">2023-02-28T12:52:00Z</dcterms:created>
  <dcterms:modified xsi:type="dcterms:W3CDTF">2023-11-28T06:39:00Z</dcterms:modified>
</cp:coreProperties>
</file>